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F5B0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E64AA" w:rsidRDefault="00CE64AA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E64A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她做了变性手术，后来信仰了伊斯兰教</w:t>
      </w:r>
    </w:p>
    <w:p w:rsidR="00EB6455" w:rsidRDefault="00EB6455" w:rsidP="00CE64A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E64AA" w:rsidRPr="00CE64AA" w:rsidRDefault="00CE64AA" w:rsidP="00CE64AA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E64AA">
        <w:rPr>
          <w:rFonts w:ascii="inherit" w:hAnsi="inherit"/>
          <w:color w:val="1F497D" w:themeColor="text2"/>
          <w:sz w:val="48"/>
          <w:szCs w:val="48"/>
          <w:rtl/>
        </w:rPr>
        <w:t>غيرت جنسها إلى ذكر ثم أسلمت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C22B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C22B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C22B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B1C06" w:rsidRPr="006B1C06" w:rsidRDefault="006B1C06" w:rsidP="006B1C06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6B1C06">
        <w:rPr>
          <w:rFonts w:asciiTheme="minorEastAsia" w:eastAsiaTheme="minorEastAsia" w:hAnsiTheme="minorEastAsia" w:cs="SimSun" w:hint="eastAsia"/>
          <w:sz w:val="36"/>
          <w:szCs w:val="36"/>
        </w:rPr>
        <w:t>她做了变性手术，后来信仰了伊斯兰教</w:t>
      </w:r>
    </w:p>
    <w:p w:rsidR="006B1C06" w:rsidRPr="006B1C06" w:rsidRDefault="006B1C06" w:rsidP="006B1C06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我现在的情况令人羞于启齿，但是我害怕在后世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里真主的惩罚，我想了解有关的教法律列。在过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去我曾经是以物配主的多神崇拜者，上了恶魔的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当；我出生的时候是女性，但是我的打扮和行为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都是男性化的，我有男性的各种渴望，我想过男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人的生活；由于这个原因，我认为自己最好成为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男人，所以想做变性手术，就服用各种各样的荷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尔蒙药物，变性手术的这些程序是不可逆转的，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最后我变成了男人。我以男人的身份生活了很长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一段时间，在上一周我发现了伊斯兰教，真主引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导我踏上了端庄的道路；我现在是一位穆斯林了，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非常后悔以前所做的变性手术，每天对自己的所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作所为深感后悔，自责不已，也不敢去任何一座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清真寺；我现在还不知道进入清真寺的教法律列，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因为我出生的时候不是男人，我觉得假如去清真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寺和男人们一起做聚礼拜，我将会成为罪人，因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为我是撒谎者，但是事实上我看起来完全像男人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原一样，无论如何都不能把我看作女人。我觉得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自己好像没有任何希望了，我如果向真主忏悔，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将来也会进入火狱。我现在应该怎么做？我最好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远离清真寺，以免给其他的穆斯林带来是非？我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在孤身一人的时候，希望能够学习现在容易找到</w:t>
      </w:r>
    </w:p>
    <w:p w:rsid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的学者们的著作、阅读一些有益的书籍、听一听</w:t>
      </w:r>
    </w:p>
    <w:p w:rsidR="006B1C06" w:rsidRPr="006B1C06" w:rsidRDefault="006B1C06" w:rsidP="006B1C0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讲座。</w:t>
      </w:r>
    </w:p>
    <w:p w:rsidR="006B1C06" w:rsidRPr="006B1C06" w:rsidRDefault="006B1C06" w:rsidP="006B1C0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6B1C06" w:rsidRPr="006B1C06" w:rsidRDefault="006B1C06" w:rsidP="006B1C0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第一：我们感谢真主引导你信仰了伊斯兰教，这是真主赐予人类的最大的恩典，藉此可以获得真正的幸福、永远的享受和进入永恒的乐园。</w:t>
      </w:r>
    </w:p>
    <w:p w:rsidR="006B1C06" w:rsidRPr="006B1C06" w:rsidRDefault="006B1C06" w:rsidP="006B1C0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我们向你报喜：真主已经准承了你的忏悔，由于真主的仁慈，任何人只要信仰伊斯兰教，那么他以前的各种罪恶和丑事都是既往不咎的，就在你念了两个</w:t>
      </w:r>
      <w:r w:rsidRPr="006B1C06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作证词</w:t>
      </w:r>
      <w:r w:rsidRPr="006B1C06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和进入伊斯兰教的那一刻，真主已经饶恕了你以前的所有罪恶，包括你所做的变性手术在内。你已经开始了信仰真主的纯洁无染的崭新的生活，所以你必须要保持纯洁，不要以罪恶污染它，摒弃恶魔在你的内心中进行的教唆和诱惑，它想让你对真主的仁慈产生绝望，想让你进入火狱；事实上你以前所做的罪恶都因为信仰伊斯兰教而被真主饶恕了。</w:t>
      </w:r>
    </w:p>
    <w:p w:rsidR="006B1C06" w:rsidRPr="006B1C06" w:rsidRDefault="006B1C06" w:rsidP="006B1C0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第二：既然真主把你造为女儿之身，你应该满意真主对你的前定和为你选择的性别，身为男人或者女人并不重要，最重要的就是必须要成为服从真主的人；无论是女人或者女人，都必须要博取真主的喜悦；所以你必须要习惯自己原先的性别和天性。</w:t>
      </w:r>
    </w:p>
    <w:p w:rsidR="006B1C06" w:rsidRPr="006B1C06" w:rsidRDefault="006B1C06" w:rsidP="006B1C0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我们向医生和专家咨询，他们告诉我们：如果真主意欲，恢复原先的性别也是很容易的，你可以去咨询这一方面的专家，遵循他们的意见；除非通过外科手术已经完全摘除了子宫，这是无法修复和还原的；但是你现在没有一点罪恶，如前所述，你信仰伊斯兰教的行为消除了以前所犯的各种罪恶；还有你已经向真主忏悔了，并且悔过自新了，这两个原因以及其中的任何一个原因都足以消除以前的罪恶。</w:t>
      </w:r>
    </w:p>
    <w:p w:rsidR="006B1C06" w:rsidRPr="006B1C06" w:rsidRDefault="006B1C06" w:rsidP="006B1C0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第三：至于你和男人混杂相处、参加集体拜和聚礼拜的事情，这是教法不允许的，因为你不是男人，必须要按照女人的身份做事，遵循真主为女人规定的教法律列。如果你和女人在一起，这是可以的，因为你事实上是女人。</w:t>
      </w:r>
    </w:p>
    <w:p w:rsidR="006B1C06" w:rsidRPr="006B1C06" w:rsidRDefault="006B1C06" w:rsidP="006B1C0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但是如果你觉得和女人在一起相处让你非常为难，那些女人不会理解你的处境和现况，因为你的外表仍</w:t>
      </w: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然是男人的外表，那么你可以延缓一段时间，直到你的外表恢复女性的样子，所以你必须要积极地去找医生，纠正以前的错误；除此之外，我们希望你能够努力的了解伊斯兰教，多读一些有关的书籍和文章，多听一些讲座。</w:t>
      </w:r>
    </w:p>
    <w:p w:rsidR="006B1C06" w:rsidRPr="006B1C06" w:rsidRDefault="006B1C06" w:rsidP="006B1C0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我们祈求真主指引你发现真理，并且坚定不移的遵循真理，为真理而开阔你的心胸，完美赐予你的恩典，让你在今世和后世中获得安宁和幸福！</w:t>
      </w:r>
    </w:p>
    <w:p w:rsidR="006B1C06" w:rsidRPr="006B1C06" w:rsidRDefault="006B1C06" w:rsidP="006B1C0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欲了解更多的内容，敬请参阅（</w:t>
      </w:r>
      <w:hyperlink r:id="rId10" w:history="1">
        <w:r w:rsidRPr="006B1C06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146881</w:t>
        </w:r>
      </w:hyperlink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6B1C06" w:rsidRPr="006B1C06" w:rsidRDefault="006B1C06" w:rsidP="006B1C0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B1C06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04" w:rsidRDefault="000F5B04" w:rsidP="00EB6455">
      <w:r>
        <w:separator/>
      </w:r>
    </w:p>
  </w:endnote>
  <w:endnote w:type="continuationSeparator" w:id="0">
    <w:p w:rsidR="000F5B04" w:rsidRDefault="000F5B04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0571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F5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0571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C22B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F5B04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04" w:rsidRDefault="000F5B04" w:rsidP="00EB6455">
      <w:r>
        <w:separator/>
      </w:r>
    </w:p>
  </w:footnote>
  <w:footnote w:type="continuationSeparator" w:id="0">
    <w:p w:rsidR="000F5B04" w:rsidRDefault="000F5B04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F5B04"/>
    <w:rsid w:val="00105717"/>
    <w:rsid w:val="00122361"/>
    <w:rsid w:val="00157B23"/>
    <w:rsid w:val="001743FA"/>
    <w:rsid w:val="0019347C"/>
    <w:rsid w:val="001B6333"/>
    <w:rsid w:val="001C22BA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C47C8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B1C06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CE64AA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8EAF3EF-DF98-400B-8047-B2A983FC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C0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B1C0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B1C0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4688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873</Words>
  <Characters>944</Characters>
  <Application>Microsoft Office Word</Application>
  <DocSecurity>0</DocSecurity>
  <Lines>59</Lines>
  <Paragraphs>50</Paragraphs>
  <ScaleCrop>false</ScaleCrop>
  <Manager/>
  <Company>islamhouse.com</Company>
  <LinksUpToDate>false</LinksUpToDate>
  <CharactersWithSpaces>1767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她做了变性手术，后来信仰了伊斯兰教_x000d_</dc:title>
  <dc:subject>她做了变性手术，后来信仰了伊斯兰教_x000d_</dc:subject>
  <dc:creator>伊斯兰问答网站_x000d_</dc:creator>
  <cp:keywords>她做了变性手术，后来信仰了伊斯兰教_x000d_</cp:keywords>
  <dc:description>她做了变性手术，后来信仰了伊斯兰教_x000d_</dc:description>
  <cp:lastModifiedBy>elhashemy</cp:lastModifiedBy>
  <cp:revision>3</cp:revision>
  <dcterms:created xsi:type="dcterms:W3CDTF">2015-02-12T13:12:00Z</dcterms:created>
  <dcterms:modified xsi:type="dcterms:W3CDTF">2015-03-03T09:50:00Z</dcterms:modified>
  <cp:category/>
</cp:coreProperties>
</file>